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92623" w14:textId="55E5FCD2" w:rsidR="00B47477" w:rsidRDefault="00E44795" w:rsidP="00FE2E4A">
      <w:pPr>
        <w:pStyle w:val="Nagwek1"/>
      </w:pPr>
      <w:r>
        <w:rPr>
          <w:lang w:val="pt-BR"/>
        </w:rPr>
        <w:t>Ficha de dados de marketing para Dante AVIO Bluetooth®</w:t>
      </w:r>
    </w:p>
    <w:p w14:paraId="0C1B3E78" w14:textId="0C3846E8" w:rsidR="00FE2E4A" w:rsidRDefault="00FE2E4A" w:rsidP="00FE2E4A"/>
    <w:p w14:paraId="6604E66E" w14:textId="1CD9EFFF" w:rsidR="00FE2E4A" w:rsidRDefault="00FE2E4A" w:rsidP="00FE2E4A">
      <w:pPr>
        <w:pStyle w:val="Nagwek2"/>
      </w:pPr>
      <w:r>
        <w:rPr>
          <w:lang w:val="pt-BR"/>
        </w:rPr>
        <w:t>Título</w:t>
      </w:r>
    </w:p>
    <w:p w14:paraId="6FD8B8B0" w14:textId="218E5FE5" w:rsidR="004C40DD" w:rsidRDefault="009A5C89" w:rsidP="004C40DD">
      <w:r>
        <w:rPr>
          <w:lang w:val="pt-BR"/>
        </w:rPr>
        <w:t>Conecte sem fios seus computadores e dispositivos móveis a uma rede de áudio Dante por Bluetooth®</w:t>
      </w:r>
    </w:p>
    <w:p w14:paraId="54BACE89" w14:textId="77777777" w:rsidR="00FE2E4A" w:rsidRPr="00FE2E4A" w:rsidRDefault="00FE2E4A" w:rsidP="00FE2E4A"/>
    <w:p w14:paraId="465D4591" w14:textId="3BBB6604" w:rsidR="00FE2E4A" w:rsidRDefault="00FE2E4A" w:rsidP="00FE2E4A">
      <w:pPr>
        <w:pStyle w:val="Nagwek2"/>
      </w:pPr>
      <w:r>
        <w:rPr>
          <w:lang w:val="pt-BR"/>
        </w:rPr>
        <w:t>Topo da página</w:t>
      </w:r>
    </w:p>
    <w:p w14:paraId="0342B5DA" w14:textId="73C0EAA8" w:rsidR="00FE2E4A" w:rsidRDefault="00C832C6" w:rsidP="00FE2E4A">
      <w:r>
        <w:rPr>
          <w:lang w:val="pt-BR"/>
        </w:rPr>
        <w:t xml:space="preserve">O Dante AVIO Bluetooth Adapter se conecta à sua rede Dante e é compatível com áudio sem fio de canais 2x1, permitindo que dispositivos móveis e PCs recebam ou transmitam áudio de quaisquer um de seus dispositivos compatíveis com Dante, usando somente uma conexão Bluetooth. Conecte aplicativos de áudio, como reprodutores de mídia e software de reuniões, a alto-falantes, microfones, mixers e DSPs na sua rede. Econômicos, compactos e feitos para toda a vida, a família de adaptadores Dante AVIO traz a moderna conectividade em rede que todo profissional de áudio precisa ter em sua caixa de ferramentas. </w:t>
      </w:r>
    </w:p>
    <w:p w14:paraId="75BCABCA" w14:textId="77777777" w:rsidR="00FE2E4A" w:rsidRPr="00AF6A4A" w:rsidRDefault="00FE2E4A" w:rsidP="00FE2E4A"/>
    <w:p w14:paraId="12CD21AF" w14:textId="77777777" w:rsidR="00FE2E4A" w:rsidRPr="00AF6A4A" w:rsidRDefault="00FE2E4A" w:rsidP="00FE2E4A">
      <w:pPr>
        <w:pStyle w:val="Nagwek2"/>
      </w:pPr>
      <w:r>
        <w:rPr>
          <w:lang w:val="pt-BR"/>
        </w:rPr>
        <w:t>Plug &amp; Play</w:t>
      </w:r>
    </w:p>
    <w:p w14:paraId="6291FA62" w14:textId="0B8765BE" w:rsidR="00FE2E4A" w:rsidRDefault="006123FF" w:rsidP="00FE2E4A">
      <w:r>
        <w:rPr>
          <w:lang w:val="pt-BR"/>
        </w:rPr>
        <w:t xml:space="preserve">Todo adaptador Dante AVIO Bluetooth é um dispositivo Dante completo e de alto desempenho, fornecendo toda a automação e facilidade de uso que fizeram do Dante a mais popular solução de rede de áudio do mundo. O adaptador Dante AVIO Bluetooth é descoberto automaticamente, está pronto para o uso quando conectado e não requer nenhuma fonte de alimentação em separado – basta usar somente um comutador PoE (Power over Ethernet) e qualquer adaptador Dante AVIO estará pronto para funcionar. </w:t>
      </w:r>
    </w:p>
    <w:p w14:paraId="772183E9" w14:textId="5BCE72B1" w:rsidR="00381717" w:rsidRDefault="00381717" w:rsidP="00FE2E4A"/>
    <w:p w14:paraId="1A12D5AE" w14:textId="0BAC63AA" w:rsidR="00381717" w:rsidRDefault="00806403" w:rsidP="00CF7214">
      <w:pPr>
        <w:pStyle w:val="Nagwek2"/>
      </w:pPr>
      <w:r>
        <w:rPr>
          <w:lang w:val="pt-BR"/>
        </w:rPr>
        <w:t>A conveniência do sem fio, a força do Dante</w:t>
      </w:r>
    </w:p>
    <w:p w14:paraId="1BD0C429" w14:textId="2D755EB3" w:rsidR="00806403" w:rsidRDefault="00CF7214" w:rsidP="00CF7214">
      <w:r>
        <w:rPr>
          <w:lang w:val="pt-BR"/>
        </w:rPr>
        <w:t>O adaptador Dante AVIO Bluetooth permite que você incremente a qualidade de áudio e a conectividade de suas redes de áudio Dante com a mesma facilidade como se usa um headset ou alto-falante Bluetooth. Simplesmente emparelhe o adaptador AVIO Bluetooth com seu telefone ou PC para áudio em rede instantâneo. A alimentação é via PoE, portanto não há a necessidade de adaptadores CA.</w:t>
      </w:r>
    </w:p>
    <w:p w14:paraId="37918AB3" w14:textId="77777777" w:rsidR="00FE2E4A" w:rsidRPr="00AF6A4A" w:rsidRDefault="00FE2E4A" w:rsidP="00FE2E4A"/>
    <w:p w14:paraId="153F6A34" w14:textId="77777777" w:rsidR="00FE2E4A" w:rsidRPr="00AF6A4A" w:rsidRDefault="00FE2E4A" w:rsidP="00FE2E4A">
      <w:pPr>
        <w:pStyle w:val="Nagwek2"/>
      </w:pPr>
      <w:r>
        <w:rPr>
          <w:lang w:val="pt-BR"/>
        </w:rPr>
        <w:t>Feito para toda a vida</w:t>
      </w:r>
    </w:p>
    <w:p w14:paraId="3CDA163F" w14:textId="5C463225" w:rsidR="00FE2E4A" w:rsidRDefault="00FE2E4A" w:rsidP="00FE2E4A">
      <w:r>
        <w:rPr>
          <w:lang w:val="pt-BR"/>
        </w:rPr>
        <w:t>Fabricamos todos os adaptadores Dante AVIO para serem resistentes e durarem toda a vida. Gabinetes em ABS soldados por ultrassom e hardware de qualidade são usados em todos eles, e os conjuntos de cabos são submetidos a testes de tensão, garantindo a operação sob condições exaustivas. Jogue-os na sua caixa de ferramentas, show após show.</w:t>
      </w:r>
    </w:p>
    <w:p w14:paraId="637B2C85" w14:textId="77777777" w:rsidR="00FE2E4A" w:rsidRPr="00AF6A4A" w:rsidRDefault="00FE2E4A" w:rsidP="00FE2E4A"/>
    <w:p w14:paraId="1594420F" w14:textId="77777777" w:rsidR="00FE2E4A" w:rsidRPr="00AF6A4A" w:rsidRDefault="00FE2E4A" w:rsidP="00FE2E4A">
      <w:pPr>
        <w:pStyle w:val="Nagwek2"/>
      </w:pPr>
      <w:r>
        <w:rPr>
          <w:lang w:val="pt-BR"/>
        </w:rPr>
        <w:t>Tudo de Dante</w:t>
      </w:r>
    </w:p>
    <w:p w14:paraId="73B704C0" w14:textId="032F209A" w:rsidR="00FE2E4A" w:rsidRDefault="00FE2E4A" w:rsidP="00FE2E4A">
      <w:r>
        <w:rPr>
          <w:lang w:val="pt-BR"/>
        </w:rPr>
        <w:t xml:space="preserve">Os adaptadores Dante AVIO são interfaces Dante totalmente funcionais, com todos os recursos que você espera receber de um sistema de rede de áudio Dante. Cada dispositivo oferece reprodução de áudio com taxa de bits perfeita, latência superbaixa e sincronização precisa com amostra por toda a rede. Todos os dispositivos Dante se reconhecem automaticamente e todo </w:t>
      </w:r>
      <w:r>
        <w:rPr>
          <w:lang w:val="pt-BR"/>
        </w:rPr>
        <w:lastRenderedPageBreak/>
        <w:t>o sistema é gerenciado pelo nosso software Dante Controller de fácil uso em qualquer PC ou Mac conectados. O mais importante, qualquer dispositivo Dante pode se conectar a qualquer outro dispositivo Dante – sem nenhuma pergunta.</w:t>
      </w:r>
    </w:p>
    <w:p w14:paraId="397FA69E" w14:textId="77777777" w:rsidR="00FE2E4A" w:rsidRPr="00AF6A4A" w:rsidRDefault="00FE2E4A" w:rsidP="00FE2E4A"/>
    <w:p w14:paraId="4F3E28A5" w14:textId="53845CFA" w:rsidR="00FE2E4A" w:rsidRDefault="00FE2E4A" w:rsidP="00FE2E4A">
      <w:r>
        <w:rPr>
          <w:lang w:val="pt-BR"/>
        </w:rPr>
        <w:t>Todos os adaptadores Dante AVIO são totalmente compatíveis com o Dante Domain Manager (DDM) para os níveis de segurança e gestão de TI, enquanto a compatibilidade com o AES67 permite conexão a redes diferentes do Dante.</w:t>
      </w:r>
    </w:p>
    <w:p w14:paraId="3718B373" w14:textId="77777777" w:rsidR="00FE2E4A" w:rsidRPr="00AF6A4A" w:rsidRDefault="00FE2E4A" w:rsidP="00FE2E4A"/>
    <w:p w14:paraId="1EAA1530" w14:textId="77777777" w:rsidR="00FE2E4A" w:rsidRPr="00AF6A4A" w:rsidRDefault="00FE2E4A" w:rsidP="00FE2E4A">
      <w:pPr>
        <w:pStyle w:val="Nagwek2"/>
      </w:pPr>
      <w:r>
        <w:rPr>
          <w:lang w:val="pt-BR"/>
        </w:rPr>
        <w:t>Custo-benefício</w:t>
      </w:r>
    </w:p>
    <w:p w14:paraId="7DFBA4B5" w14:textId="17EFC8CD" w:rsidR="00FE2E4A" w:rsidRDefault="00FE2E4A" w:rsidP="00FE2E4A">
      <w:r>
        <w:rPr>
          <w:lang w:val="pt-BR"/>
        </w:rPr>
        <w:t>Trabalhamos duro para fazer da família de produtos Dante AVIO uma adição com um bom custo-benefício a qualquer sistema ou equipamento, portanto qualquer um pode aproveitar os benefícios do Dante. Criar um sistema de rede de áudio sobre rede nunca foi tão fácil ou acessível, não importa como você escolhe usá-lo.</w:t>
      </w:r>
    </w:p>
    <w:p w14:paraId="5B6D605F" w14:textId="0E17100E" w:rsidR="00FE2E4A" w:rsidRDefault="00FE2E4A" w:rsidP="00FE2E4A"/>
    <w:p w14:paraId="293A4C09" w14:textId="77777777" w:rsidR="00FE2E4A" w:rsidRPr="00AF6A4A" w:rsidRDefault="00FE2E4A" w:rsidP="00FE2E4A">
      <w:pPr>
        <w:pStyle w:val="Nagwek1"/>
      </w:pPr>
      <w:r>
        <w:rPr>
          <w:lang w:val="pt-BR"/>
        </w:rPr>
        <w:t>Casos de utilização (para barra lateral)</w:t>
      </w:r>
    </w:p>
    <w:p w14:paraId="0B4BFE20" w14:textId="10099E3C" w:rsidR="001F57AE" w:rsidRDefault="00B95550" w:rsidP="001F57AE">
      <w:pPr>
        <w:pStyle w:val="Nagwek2"/>
      </w:pPr>
      <w:r>
        <w:rPr>
          <w:lang w:val="pt-BR"/>
        </w:rPr>
        <w:t>Bluetooth</w:t>
      </w:r>
    </w:p>
    <w:p w14:paraId="4F066288" w14:textId="3BD3056E" w:rsidR="00722914" w:rsidRDefault="003E55C9" w:rsidP="001F57AE">
      <w:pPr>
        <w:pStyle w:val="Akapitzlist"/>
        <w:numPr>
          <w:ilvl w:val="0"/>
          <w:numId w:val="5"/>
        </w:numPr>
      </w:pPr>
      <w:r>
        <w:rPr>
          <w:lang w:val="pt-BR"/>
        </w:rPr>
        <w:t>Conecte sem fio qualquer PC ou dispositivo móvel à sua rede de áudio Dante</w:t>
      </w:r>
    </w:p>
    <w:p w14:paraId="298415A5" w14:textId="0200A180" w:rsidR="000E3A56" w:rsidRDefault="000E3A56" w:rsidP="001F57AE">
      <w:pPr>
        <w:pStyle w:val="Akapitzlist"/>
        <w:numPr>
          <w:ilvl w:val="0"/>
          <w:numId w:val="5"/>
        </w:numPr>
      </w:pPr>
      <w:r>
        <w:rPr>
          <w:lang w:val="pt-BR"/>
        </w:rPr>
        <w:t>Não requer nenhum software ou driver adicionais</w:t>
      </w:r>
    </w:p>
    <w:p w14:paraId="6F191DCD" w14:textId="1DEEBC6D" w:rsidR="00EF7EAC" w:rsidRPr="00EF7EAC" w:rsidRDefault="00EF7EAC" w:rsidP="00EF7EAC">
      <w:pPr>
        <w:pStyle w:val="Akapitzlist"/>
        <w:numPr>
          <w:ilvl w:val="0"/>
          <w:numId w:val="5"/>
        </w:numPr>
      </w:pPr>
      <w:r>
        <w:rPr>
          <w:lang w:val="pt-BR"/>
        </w:rPr>
        <w:t xml:space="preserve">Transfira facilmente chamadas de dispositivos móveis a qualquer sistema de sala de conferência compatível com Dante </w:t>
      </w:r>
    </w:p>
    <w:p w14:paraId="00C5215E" w14:textId="35C94B5B" w:rsidR="00D33BE7" w:rsidRDefault="00AC13A1" w:rsidP="001F57AE">
      <w:pPr>
        <w:pStyle w:val="Akapitzlist"/>
        <w:numPr>
          <w:ilvl w:val="0"/>
          <w:numId w:val="5"/>
        </w:numPr>
      </w:pPr>
      <w:r>
        <w:rPr>
          <w:lang w:val="pt-BR"/>
        </w:rPr>
        <w:t>Conecte instantaneamente microfones e alto-falantes na sala de conferência</w:t>
      </w:r>
    </w:p>
    <w:p w14:paraId="41D20549" w14:textId="4FD57ECA" w:rsidR="00E3234D" w:rsidRDefault="00E3234D" w:rsidP="001F57AE">
      <w:pPr>
        <w:pStyle w:val="Akapitzlist"/>
        <w:numPr>
          <w:ilvl w:val="0"/>
          <w:numId w:val="5"/>
        </w:numPr>
      </w:pPr>
      <w:r>
        <w:rPr>
          <w:lang w:val="pt-BR"/>
        </w:rPr>
        <w:t>O roteamento de canais é armazenado no AVIO para conexões consistentes quando utilizadas com qualquer dispositivo compatível com Bluetooth</w:t>
      </w:r>
    </w:p>
    <w:p w14:paraId="027B9C01" w14:textId="77777777" w:rsidR="00FE2E4A" w:rsidRDefault="00FE2E4A" w:rsidP="00FE2E4A">
      <w:pPr>
        <w:pStyle w:val="Nagwek2"/>
      </w:pPr>
      <w:r>
        <w:rPr>
          <w:lang w:val="pt-BR"/>
        </w:rPr>
        <w:t>Recursos</w:t>
      </w:r>
    </w:p>
    <w:p w14:paraId="5B1C94AC" w14:textId="0961A0FB" w:rsidR="00FE2E4A" w:rsidRDefault="00FE2E4A" w:rsidP="00FE2E4A">
      <w:pPr>
        <w:pStyle w:val="Akapitzlist"/>
        <w:numPr>
          <w:ilvl w:val="0"/>
          <w:numId w:val="3"/>
        </w:numPr>
      </w:pPr>
      <w:r>
        <w:rPr>
          <w:lang w:val="pt-BR"/>
        </w:rPr>
        <w:t>Operação Plug &amp; Play</w:t>
      </w:r>
    </w:p>
    <w:p w14:paraId="7280812C" w14:textId="065CBC6D" w:rsidR="00FE2E4A" w:rsidRDefault="00FE2E4A" w:rsidP="00FE2E4A">
      <w:pPr>
        <w:pStyle w:val="Akapitzlist"/>
        <w:numPr>
          <w:ilvl w:val="0"/>
          <w:numId w:val="3"/>
        </w:numPr>
      </w:pPr>
      <w:r>
        <w:rPr>
          <w:lang w:val="pt-BR"/>
        </w:rPr>
        <w:t>Feito para toda a vida</w:t>
      </w:r>
    </w:p>
    <w:p w14:paraId="2EB55753" w14:textId="504688B3" w:rsidR="00B91BAA" w:rsidRDefault="00B91BAA" w:rsidP="00FE2E4A">
      <w:pPr>
        <w:pStyle w:val="Akapitzlist"/>
        <w:numPr>
          <w:ilvl w:val="0"/>
          <w:numId w:val="3"/>
        </w:numPr>
      </w:pPr>
      <w:r>
        <w:rPr>
          <w:lang w:val="pt-BR"/>
        </w:rPr>
        <w:t>canais de áudio 2 x 1</w:t>
      </w:r>
    </w:p>
    <w:p w14:paraId="3CF71EE8" w14:textId="3AFAE2DA" w:rsidR="00EF7EAC" w:rsidRDefault="00EF7EAC" w:rsidP="00FE2E4A">
      <w:pPr>
        <w:pStyle w:val="Akapitzlist"/>
        <w:numPr>
          <w:ilvl w:val="0"/>
          <w:numId w:val="3"/>
        </w:numPr>
      </w:pPr>
      <w:r>
        <w:rPr>
          <w:lang w:val="pt-BR"/>
        </w:rPr>
        <w:t>Compatível com áudio de 24 bits</w:t>
      </w:r>
    </w:p>
    <w:p w14:paraId="69182AD5" w14:textId="77777777" w:rsidR="00FE2E4A" w:rsidRDefault="00FE2E4A" w:rsidP="00FE2E4A">
      <w:pPr>
        <w:pStyle w:val="Akapitzlist"/>
        <w:numPr>
          <w:ilvl w:val="0"/>
          <w:numId w:val="3"/>
        </w:numPr>
      </w:pPr>
      <w:r>
        <w:rPr>
          <w:lang w:val="pt-BR"/>
        </w:rPr>
        <w:t>Formatos de transporte Áudio sobre IP Dante e AES67 RTP</w:t>
      </w:r>
    </w:p>
    <w:p w14:paraId="5F3009D7" w14:textId="0725B891" w:rsidR="00FE2E4A" w:rsidRDefault="00FE2E4A" w:rsidP="00FE2E4A">
      <w:pPr>
        <w:pStyle w:val="Akapitzlist"/>
        <w:numPr>
          <w:ilvl w:val="0"/>
          <w:numId w:val="3"/>
        </w:numPr>
      </w:pPr>
      <w:r>
        <w:rPr>
          <w:lang w:val="pt-BR"/>
        </w:rPr>
        <w:t>Compatível com Power over Ethernet (PoE)</w:t>
      </w:r>
    </w:p>
    <w:p w14:paraId="50F65C7D" w14:textId="77777777" w:rsidR="00FE2E4A" w:rsidRDefault="00FE2E4A" w:rsidP="00FE2E4A">
      <w:pPr>
        <w:pStyle w:val="Akapitzlist"/>
        <w:numPr>
          <w:ilvl w:val="0"/>
          <w:numId w:val="3"/>
        </w:numPr>
      </w:pPr>
      <w:r>
        <w:rPr>
          <w:lang w:val="pt-BR"/>
        </w:rPr>
        <w:t>Pronto para Dante Domain Manager</w:t>
      </w:r>
    </w:p>
    <w:p w14:paraId="25CFA003" w14:textId="77777777" w:rsidR="00FE2E4A" w:rsidRPr="00AF6A4A" w:rsidRDefault="00FE2E4A" w:rsidP="00FE2E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5112"/>
      </w:tblGrid>
      <w:tr w:rsidR="00B422E3" w:rsidRPr="00B422E3" w14:paraId="6CD03CDD" w14:textId="77777777" w:rsidTr="00B422E3">
        <w:trPr>
          <w:trHeight w:val="380"/>
        </w:trPr>
        <w:tc>
          <w:tcPr>
            <w:tcW w:w="0" w:type="auto"/>
            <w:shd w:val="clear" w:color="auto" w:fill="auto"/>
            <w:hideMark/>
          </w:tcPr>
          <w:p w14:paraId="0538DC54" w14:textId="77777777" w:rsidR="00B422E3" w:rsidRPr="00B422E3" w:rsidRDefault="00B422E3" w:rsidP="00B422E3">
            <w:pPr>
              <w:rPr>
                <w:rFonts w:ascii="Segoe UI" w:eastAsia="Times New Roman" w:hAnsi="Segoe UI" w:cs="Segoe UI"/>
                <w:b/>
                <w:bCs/>
                <w:color w:val="000000"/>
                <w:sz w:val="22"/>
                <w:szCs w:val="22"/>
              </w:rPr>
            </w:pPr>
            <w:r>
              <w:rPr>
                <w:rFonts w:ascii="Segoe UI" w:eastAsia="Times New Roman" w:hAnsi="Segoe UI" w:cs="Segoe UI"/>
                <w:b/>
                <w:bCs/>
                <w:color w:val="000000"/>
                <w:sz w:val="22"/>
                <w:szCs w:val="22"/>
                <w:lang w:val="pt-BR"/>
              </w:rPr>
              <w:t>Especificações</w:t>
            </w:r>
          </w:p>
        </w:tc>
        <w:tc>
          <w:tcPr>
            <w:tcW w:w="0" w:type="auto"/>
            <w:shd w:val="clear" w:color="auto" w:fill="auto"/>
            <w:hideMark/>
          </w:tcPr>
          <w:p w14:paraId="71693983" w14:textId="77777777" w:rsidR="00B422E3" w:rsidRPr="00B422E3" w:rsidRDefault="00B422E3" w:rsidP="00B422E3">
            <w:pPr>
              <w:jc w:val="center"/>
              <w:rPr>
                <w:rFonts w:ascii="Segoe UI" w:eastAsia="Times New Roman" w:hAnsi="Segoe UI" w:cs="Segoe UI"/>
                <w:b/>
                <w:bCs/>
                <w:color w:val="000000"/>
                <w:sz w:val="22"/>
                <w:szCs w:val="22"/>
              </w:rPr>
            </w:pPr>
            <w:r>
              <w:rPr>
                <w:rFonts w:ascii="Segoe UI" w:eastAsia="Times New Roman" w:hAnsi="Segoe UI" w:cs="Segoe UI"/>
                <w:b/>
                <w:bCs/>
                <w:color w:val="000000"/>
                <w:sz w:val="22"/>
                <w:szCs w:val="22"/>
                <w:lang w:val="pt-BR"/>
              </w:rPr>
              <w:t>AVIO Bluetooth</w:t>
            </w:r>
          </w:p>
        </w:tc>
      </w:tr>
      <w:tr w:rsidR="00B422E3" w:rsidRPr="00B422E3" w14:paraId="4083692B" w14:textId="77777777" w:rsidTr="00B422E3">
        <w:trPr>
          <w:trHeight w:val="380"/>
        </w:trPr>
        <w:tc>
          <w:tcPr>
            <w:tcW w:w="0" w:type="auto"/>
            <w:shd w:val="clear" w:color="auto" w:fill="auto"/>
            <w:hideMark/>
          </w:tcPr>
          <w:p w14:paraId="0BBBE83E" w14:textId="77777777" w:rsidR="00B422E3" w:rsidRPr="00B422E3" w:rsidRDefault="00B422E3" w:rsidP="00B422E3">
            <w:pPr>
              <w:rPr>
                <w:rFonts w:ascii="Segoe UI" w:eastAsia="Times New Roman" w:hAnsi="Segoe UI" w:cs="Segoe UI"/>
                <w:color w:val="000000"/>
                <w:sz w:val="22"/>
                <w:szCs w:val="22"/>
              </w:rPr>
            </w:pPr>
            <w:r>
              <w:rPr>
                <w:rFonts w:ascii="Segoe UI" w:eastAsia="Times New Roman" w:hAnsi="Segoe UI" w:cs="Segoe UI"/>
                <w:color w:val="000000"/>
                <w:sz w:val="22"/>
                <w:szCs w:val="22"/>
                <w:lang w:val="pt-BR"/>
              </w:rPr>
              <w:t>Canais de áudio</w:t>
            </w:r>
          </w:p>
        </w:tc>
        <w:tc>
          <w:tcPr>
            <w:tcW w:w="0" w:type="auto"/>
            <w:shd w:val="clear" w:color="auto" w:fill="auto"/>
            <w:hideMark/>
          </w:tcPr>
          <w:p w14:paraId="42C95309" w14:textId="60EB11AD" w:rsidR="00B422E3" w:rsidRPr="00B422E3" w:rsidRDefault="00B422E3" w:rsidP="00B422E3">
            <w:pPr>
              <w:jc w:val="center"/>
              <w:rPr>
                <w:rFonts w:ascii="Segoe UI" w:eastAsia="Times New Roman" w:hAnsi="Segoe UI" w:cs="Segoe UI"/>
                <w:color w:val="000000"/>
                <w:sz w:val="22"/>
                <w:szCs w:val="22"/>
              </w:rPr>
            </w:pPr>
            <w:r>
              <w:rPr>
                <w:rFonts w:ascii="Segoe UI" w:eastAsia="Times New Roman" w:hAnsi="Segoe UI" w:cs="Segoe UI"/>
                <w:color w:val="000000"/>
                <w:sz w:val="22"/>
                <w:szCs w:val="22"/>
                <w:lang w:val="pt-BR"/>
              </w:rPr>
              <w:t>2 entradas / 1 saída</w:t>
            </w:r>
          </w:p>
        </w:tc>
      </w:tr>
      <w:tr w:rsidR="00B422E3" w:rsidRPr="00B422E3" w14:paraId="6322D6E7" w14:textId="77777777" w:rsidTr="00B422E3">
        <w:trPr>
          <w:trHeight w:val="380"/>
        </w:trPr>
        <w:tc>
          <w:tcPr>
            <w:tcW w:w="0" w:type="auto"/>
            <w:shd w:val="clear" w:color="auto" w:fill="auto"/>
            <w:hideMark/>
          </w:tcPr>
          <w:p w14:paraId="0C667BDA" w14:textId="77777777" w:rsidR="00B422E3" w:rsidRPr="00B422E3" w:rsidRDefault="00B422E3" w:rsidP="00B422E3">
            <w:pPr>
              <w:rPr>
                <w:rFonts w:ascii="Segoe UI" w:eastAsia="Times New Roman" w:hAnsi="Segoe UI" w:cs="Segoe UI"/>
                <w:b/>
                <w:bCs/>
                <w:color w:val="665F61"/>
                <w:sz w:val="22"/>
                <w:szCs w:val="22"/>
              </w:rPr>
            </w:pPr>
            <w:r>
              <w:rPr>
                <w:rFonts w:ascii="Segoe UI" w:eastAsia="Times New Roman" w:hAnsi="Segoe UI" w:cs="Segoe UI"/>
                <w:b/>
                <w:bCs/>
                <w:color w:val="665F61"/>
                <w:sz w:val="22"/>
                <w:szCs w:val="22"/>
                <w:lang w:val="pt-BR"/>
              </w:rPr>
              <w:t>Conectores</w:t>
            </w:r>
          </w:p>
        </w:tc>
        <w:tc>
          <w:tcPr>
            <w:tcW w:w="0" w:type="auto"/>
            <w:shd w:val="clear" w:color="auto" w:fill="auto"/>
            <w:hideMark/>
          </w:tcPr>
          <w:p w14:paraId="52AA1CE1" w14:textId="77777777" w:rsidR="00B422E3" w:rsidRPr="00B422E3" w:rsidRDefault="00B422E3" w:rsidP="00B422E3">
            <w:pPr>
              <w:jc w:val="center"/>
              <w:rPr>
                <w:rFonts w:ascii="Segoe UI" w:eastAsia="Times New Roman" w:hAnsi="Segoe UI" w:cs="Segoe UI"/>
                <w:color w:val="665F61"/>
                <w:sz w:val="22"/>
                <w:szCs w:val="22"/>
              </w:rPr>
            </w:pPr>
            <w:r>
              <w:rPr>
                <w:rFonts w:ascii="Segoe UI" w:eastAsia="Times New Roman" w:hAnsi="Segoe UI" w:cs="Segoe UI"/>
                <w:color w:val="665F61"/>
                <w:sz w:val="22"/>
                <w:szCs w:val="22"/>
                <w:lang w:val="pt-BR"/>
              </w:rPr>
              <w:t>RJ45</w:t>
            </w:r>
          </w:p>
        </w:tc>
      </w:tr>
      <w:tr w:rsidR="00B422E3" w:rsidRPr="00B422E3" w14:paraId="75B47406" w14:textId="77777777" w:rsidTr="00B422E3">
        <w:trPr>
          <w:trHeight w:val="380"/>
        </w:trPr>
        <w:tc>
          <w:tcPr>
            <w:tcW w:w="0" w:type="auto"/>
            <w:shd w:val="clear" w:color="auto" w:fill="auto"/>
            <w:hideMark/>
          </w:tcPr>
          <w:p w14:paraId="4A9B3CBA" w14:textId="77777777" w:rsidR="00B422E3" w:rsidRPr="00B422E3" w:rsidRDefault="00B422E3" w:rsidP="00B422E3">
            <w:pPr>
              <w:rPr>
                <w:rFonts w:ascii="Segoe UI" w:eastAsia="Times New Roman" w:hAnsi="Segoe UI" w:cs="Segoe UI"/>
                <w:b/>
                <w:bCs/>
                <w:color w:val="665F61"/>
                <w:sz w:val="22"/>
                <w:szCs w:val="22"/>
              </w:rPr>
            </w:pPr>
            <w:r>
              <w:rPr>
                <w:rFonts w:ascii="Segoe UI" w:eastAsia="Times New Roman" w:hAnsi="Segoe UI" w:cs="Segoe UI"/>
                <w:b/>
                <w:bCs/>
                <w:color w:val="665F61"/>
                <w:sz w:val="22"/>
                <w:szCs w:val="22"/>
                <w:lang w:val="pt-BR"/>
              </w:rPr>
              <w:t>Alimentação</w:t>
            </w:r>
          </w:p>
        </w:tc>
        <w:tc>
          <w:tcPr>
            <w:tcW w:w="0" w:type="auto"/>
            <w:shd w:val="clear" w:color="auto" w:fill="auto"/>
            <w:hideMark/>
          </w:tcPr>
          <w:p w14:paraId="4075791F" w14:textId="77777777" w:rsidR="00B422E3" w:rsidRPr="00B422E3" w:rsidRDefault="00B422E3" w:rsidP="00B422E3">
            <w:pPr>
              <w:jc w:val="center"/>
              <w:rPr>
                <w:rFonts w:ascii="Segoe UI" w:eastAsia="Times New Roman" w:hAnsi="Segoe UI" w:cs="Segoe UI"/>
                <w:color w:val="665F61"/>
                <w:sz w:val="22"/>
                <w:szCs w:val="22"/>
              </w:rPr>
            </w:pPr>
            <w:r>
              <w:rPr>
                <w:rFonts w:ascii="Segoe UI" w:eastAsia="Times New Roman" w:hAnsi="Segoe UI" w:cs="Segoe UI"/>
                <w:color w:val="665F61"/>
                <w:sz w:val="22"/>
                <w:szCs w:val="22"/>
                <w:lang w:val="pt-BR"/>
              </w:rPr>
              <w:t>802.3af Classe 1 PoE</w:t>
            </w:r>
          </w:p>
        </w:tc>
      </w:tr>
      <w:tr w:rsidR="00B422E3" w:rsidRPr="00B422E3" w14:paraId="038C5FC8" w14:textId="77777777" w:rsidTr="00B422E3">
        <w:trPr>
          <w:trHeight w:val="740"/>
        </w:trPr>
        <w:tc>
          <w:tcPr>
            <w:tcW w:w="0" w:type="auto"/>
            <w:shd w:val="clear" w:color="auto" w:fill="auto"/>
            <w:hideMark/>
          </w:tcPr>
          <w:p w14:paraId="26D3FB40" w14:textId="77777777" w:rsidR="00B422E3" w:rsidRPr="00B422E3" w:rsidRDefault="00B422E3" w:rsidP="00B422E3">
            <w:pPr>
              <w:rPr>
                <w:rFonts w:ascii="Segoe UI" w:eastAsia="Times New Roman" w:hAnsi="Segoe UI" w:cs="Segoe UI"/>
                <w:b/>
                <w:bCs/>
                <w:color w:val="665F61"/>
                <w:sz w:val="22"/>
                <w:szCs w:val="22"/>
              </w:rPr>
            </w:pPr>
            <w:r>
              <w:rPr>
                <w:rFonts w:ascii="Segoe UI" w:eastAsia="Times New Roman" w:hAnsi="Segoe UI" w:cs="Segoe UI"/>
                <w:b/>
                <w:bCs/>
                <w:color w:val="665F61"/>
                <w:sz w:val="22"/>
                <w:szCs w:val="22"/>
                <w:lang w:val="pt-BR"/>
              </w:rPr>
              <w:t>Conversão de taxa de amostra assíncrona</w:t>
            </w:r>
          </w:p>
        </w:tc>
        <w:tc>
          <w:tcPr>
            <w:tcW w:w="0" w:type="auto"/>
            <w:shd w:val="clear" w:color="auto" w:fill="auto"/>
            <w:hideMark/>
          </w:tcPr>
          <w:p w14:paraId="2D5A7D79" w14:textId="77777777" w:rsidR="00B422E3" w:rsidRPr="00B422E3" w:rsidRDefault="00B422E3" w:rsidP="00B422E3">
            <w:pPr>
              <w:jc w:val="center"/>
              <w:rPr>
                <w:rFonts w:ascii="Segoe UI" w:eastAsia="Times New Roman" w:hAnsi="Segoe UI" w:cs="Segoe UI"/>
                <w:color w:val="665F61"/>
                <w:sz w:val="22"/>
                <w:szCs w:val="22"/>
              </w:rPr>
            </w:pPr>
            <w:r>
              <w:rPr>
                <w:rFonts w:ascii="Segoe UI" w:eastAsia="Times New Roman" w:hAnsi="Segoe UI" w:cs="Segoe UI"/>
                <w:color w:val="665F61"/>
                <w:sz w:val="22"/>
                <w:szCs w:val="22"/>
                <w:lang w:val="pt-BR"/>
              </w:rPr>
              <w:t>-</w:t>
            </w:r>
          </w:p>
        </w:tc>
      </w:tr>
      <w:tr w:rsidR="00B422E3" w:rsidRPr="00B422E3" w14:paraId="5DD595FF" w14:textId="77777777" w:rsidTr="00B422E3">
        <w:trPr>
          <w:trHeight w:val="380"/>
        </w:trPr>
        <w:tc>
          <w:tcPr>
            <w:tcW w:w="0" w:type="auto"/>
            <w:shd w:val="clear" w:color="auto" w:fill="auto"/>
            <w:hideMark/>
          </w:tcPr>
          <w:p w14:paraId="3B432072" w14:textId="77777777" w:rsidR="00B422E3" w:rsidRPr="00B422E3" w:rsidRDefault="00B422E3" w:rsidP="00B422E3">
            <w:pPr>
              <w:rPr>
                <w:rFonts w:ascii="Segoe UI" w:eastAsia="Times New Roman" w:hAnsi="Segoe UI" w:cs="Segoe UI"/>
                <w:b/>
                <w:bCs/>
                <w:color w:val="665F61"/>
                <w:sz w:val="22"/>
                <w:szCs w:val="22"/>
              </w:rPr>
            </w:pPr>
            <w:r>
              <w:rPr>
                <w:rFonts w:ascii="Segoe UI" w:eastAsia="Times New Roman" w:hAnsi="Segoe UI" w:cs="Segoe UI"/>
                <w:b/>
                <w:bCs/>
                <w:color w:val="665F61"/>
                <w:sz w:val="22"/>
                <w:szCs w:val="22"/>
                <w:lang w:val="pt-BR"/>
              </w:rPr>
              <w:lastRenderedPageBreak/>
              <w:t>Taxas de amostra</w:t>
            </w:r>
          </w:p>
        </w:tc>
        <w:tc>
          <w:tcPr>
            <w:tcW w:w="0" w:type="auto"/>
            <w:shd w:val="clear" w:color="auto" w:fill="auto"/>
            <w:hideMark/>
          </w:tcPr>
          <w:p w14:paraId="19409660" w14:textId="77777777" w:rsidR="00B422E3" w:rsidRPr="00B422E3" w:rsidRDefault="00B422E3" w:rsidP="00B422E3">
            <w:pPr>
              <w:jc w:val="center"/>
              <w:rPr>
                <w:rFonts w:ascii="Segoe UI" w:eastAsia="Times New Roman" w:hAnsi="Segoe UI" w:cs="Segoe UI"/>
                <w:color w:val="665F61"/>
                <w:sz w:val="22"/>
                <w:szCs w:val="22"/>
              </w:rPr>
            </w:pPr>
            <w:r>
              <w:rPr>
                <w:rFonts w:ascii="Segoe UI" w:eastAsia="Times New Roman" w:hAnsi="Segoe UI" w:cs="Segoe UI"/>
                <w:color w:val="665F61"/>
                <w:sz w:val="22"/>
                <w:szCs w:val="22"/>
                <w:lang w:val="pt-BR"/>
              </w:rPr>
              <w:t>48 kHz</w:t>
            </w:r>
          </w:p>
        </w:tc>
      </w:tr>
      <w:tr w:rsidR="00B422E3" w:rsidRPr="00B422E3" w14:paraId="4DFC55D1" w14:textId="77777777" w:rsidTr="00B422E3">
        <w:trPr>
          <w:trHeight w:val="380"/>
        </w:trPr>
        <w:tc>
          <w:tcPr>
            <w:tcW w:w="0" w:type="auto"/>
            <w:shd w:val="clear" w:color="auto" w:fill="auto"/>
            <w:hideMark/>
          </w:tcPr>
          <w:p w14:paraId="65E84F85" w14:textId="77777777" w:rsidR="00B422E3" w:rsidRPr="00B422E3" w:rsidRDefault="00B422E3" w:rsidP="00B422E3">
            <w:pPr>
              <w:rPr>
                <w:rFonts w:ascii="Segoe UI" w:eastAsia="Times New Roman" w:hAnsi="Segoe UI" w:cs="Segoe UI"/>
                <w:b/>
                <w:bCs/>
                <w:color w:val="665F61"/>
                <w:sz w:val="22"/>
                <w:szCs w:val="22"/>
              </w:rPr>
            </w:pPr>
            <w:r>
              <w:rPr>
                <w:rFonts w:ascii="Segoe UI" w:eastAsia="Times New Roman" w:hAnsi="Segoe UI" w:cs="Segoe UI"/>
                <w:b/>
                <w:bCs/>
                <w:color w:val="665F61"/>
                <w:sz w:val="22"/>
                <w:szCs w:val="22"/>
                <w:lang w:val="pt-BR"/>
              </w:rPr>
              <w:t>Profundidade de bits</w:t>
            </w:r>
          </w:p>
        </w:tc>
        <w:tc>
          <w:tcPr>
            <w:tcW w:w="0" w:type="auto"/>
            <w:shd w:val="clear" w:color="auto" w:fill="auto"/>
            <w:hideMark/>
          </w:tcPr>
          <w:p w14:paraId="1C3F9323" w14:textId="77777777" w:rsidR="00B422E3" w:rsidRPr="00B422E3" w:rsidRDefault="00B422E3" w:rsidP="00B422E3">
            <w:pPr>
              <w:jc w:val="center"/>
              <w:rPr>
                <w:rFonts w:ascii="Segoe UI" w:eastAsia="Times New Roman" w:hAnsi="Segoe UI" w:cs="Segoe UI"/>
                <w:color w:val="665F61"/>
                <w:sz w:val="22"/>
                <w:szCs w:val="22"/>
              </w:rPr>
            </w:pPr>
            <w:r>
              <w:rPr>
                <w:rFonts w:ascii="Segoe UI" w:eastAsia="Times New Roman" w:hAnsi="Segoe UI" w:cs="Segoe UI"/>
                <w:color w:val="665F61"/>
                <w:sz w:val="22"/>
                <w:szCs w:val="22"/>
                <w:lang w:val="pt-BR"/>
              </w:rPr>
              <w:t>24</w:t>
            </w:r>
          </w:p>
        </w:tc>
      </w:tr>
      <w:tr w:rsidR="00B422E3" w:rsidRPr="00B422E3" w14:paraId="3CC2286F" w14:textId="77777777" w:rsidTr="008471E2">
        <w:trPr>
          <w:trHeight w:val="380"/>
        </w:trPr>
        <w:tc>
          <w:tcPr>
            <w:tcW w:w="0" w:type="auto"/>
            <w:shd w:val="clear" w:color="auto" w:fill="auto"/>
            <w:hideMark/>
          </w:tcPr>
          <w:p w14:paraId="6475244A" w14:textId="77777777" w:rsidR="00B422E3" w:rsidRPr="00B422E3" w:rsidRDefault="00B422E3" w:rsidP="00B422E3">
            <w:pPr>
              <w:rPr>
                <w:rFonts w:ascii="Segoe UI" w:eastAsia="Times New Roman" w:hAnsi="Segoe UI" w:cs="Segoe UI"/>
                <w:b/>
                <w:bCs/>
                <w:color w:val="665F61"/>
                <w:sz w:val="22"/>
                <w:szCs w:val="22"/>
              </w:rPr>
            </w:pPr>
            <w:r>
              <w:rPr>
                <w:rFonts w:ascii="Segoe UI" w:eastAsia="Times New Roman" w:hAnsi="Segoe UI" w:cs="Segoe UI"/>
                <w:b/>
                <w:bCs/>
                <w:color w:val="665F61"/>
                <w:sz w:val="22"/>
                <w:szCs w:val="22"/>
                <w:lang w:val="pt-BR"/>
              </w:rPr>
              <w:t>Latência dos dispositivos Dante</w:t>
            </w:r>
          </w:p>
        </w:tc>
        <w:tc>
          <w:tcPr>
            <w:tcW w:w="0" w:type="auto"/>
            <w:shd w:val="clear" w:color="auto" w:fill="auto"/>
            <w:hideMark/>
          </w:tcPr>
          <w:p w14:paraId="7CFE2443" w14:textId="31AF47F5" w:rsidR="00B422E3" w:rsidRPr="00B422E3" w:rsidRDefault="008471E2" w:rsidP="00B422E3">
            <w:pPr>
              <w:jc w:val="center"/>
              <w:rPr>
                <w:rFonts w:ascii="Segoe UI" w:eastAsia="Times New Roman" w:hAnsi="Segoe UI" w:cs="Segoe UI"/>
                <w:color w:val="665F61"/>
                <w:sz w:val="22"/>
                <w:szCs w:val="22"/>
              </w:rPr>
            </w:pPr>
            <w:r>
              <w:rPr>
                <w:rFonts w:ascii="Segoe UI" w:eastAsia="Times New Roman" w:hAnsi="Segoe UI" w:cs="Segoe UI"/>
                <w:color w:val="665F61"/>
                <w:sz w:val="22"/>
                <w:szCs w:val="22"/>
                <w:lang w:val="pt-BR"/>
              </w:rPr>
              <w:t>1, 2, ou 5 ms (configurável usando o Dante Controller)</w:t>
            </w:r>
          </w:p>
        </w:tc>
      </w:tr>
      <w:tr w:rsidR="00B422E3" w:rsidRPr="00B422E3" w14:paraId="3B81F962" w14:textId="77777777" w:rsidTr="00B422E3">
        <w:trPr>
          <w:trHeight w:val="740"/>
        </w:trPr>
        <w:tc>
          <w:tcPr>
            <w:tcW w:w="0" w:type="auto"/>
            <w:shd w:val="clear" w:color="auto" w:fill="auto"/>
            <w:hideMark/>
          </w:tcPr>
          <w:p w14:paraId="623A47D4" w14:textId="77777777" w:rsidR="00B422E3" w:rsidRPr="00B422E3" w:rsidRDefault="00B422E3" w:rsidP="00B422E3">
            <w:pPr>
              <w:rPr>
                <w:rFonts w:ascii="Segoe UI" w:eastAsia="Times New Roman" w:hAnsi="Segoe UI" w:cs="Segoe UI"/>
                <w:b/>
                <w:bCs/>
                <w:color w:val="665F61"/>
                <w:sz w:val="22"/>
                <w:szCs w:val="22"/>
              </w:rPr>
            </w:pPr>
            <w:r>
              <w:rPr>
                <w:rFonts w:ascii="Segoe UI" w:eastAsia="Times New Roman" w:hAnsi="Segoe UI" w:cs="Segoe UI"/>
                <w:b/>
                <w:bCs/>
                <w:color w:val="665F61"/>
                <w:sz w:val="22"/>
                <w:szCs w:val="22"/>
                <w:lang w:val="pt-BR"/>
              </w:rPr>
              <w:t>Bluetooth</w:t>
            </w:r>
          </w:p>
        </w:tc>
        <w:tc>
          <w:tcPr>
            <w:tcW w:w="0" w:type="auto"/>
            <w:shd w:val="clear" w:color="auto" w:fill="auto"/>
            <w:hideMark/>
          </w:tcPr>
          <w:p w14:paraId="70E27A7D" w14:textId="4AFDA260" w:rsidR="00B422E3" w:rsidRPr="00B422E3" w:rsidRDefault="00B422E3" w:rsidP="00B422E3">
            <w:pPr>
              <w:jc w:val="center"/>
              <w:rPr>
                <w:rFonts w:ascii="Segoe UI" w:eastAsia="Times New Roman" w:hAnsi="Segoe UI" w:cs="Segoe UI"/>
                <w:color w:val="665F61"/>
                <w:sz w:val="22"/>
                <w:szCs w:val="22"/>
              </w:rPr>
            </w:pPr>
            <w:r>
              <w:rPr>
                <w:rFonts w:ascii="Segoe UI" w:eastAsia="Times New Roman" w:hAnsi="Segoe UI" w:cs="Segoe UI"/>
                <w:color w:val="665F61"/>
                <w:sz w:val="22"/>
                <w:szCs w:val="22"/>
                <w:lang w:val="pt-BR"/>
              </w:rPr>
              <w:t>Bluetooth 5.0</w:t>
            </w:r>
          </w:p>
        </w:tc>
      </w:tr>
      <w:tr w:rsidR="00B422E3" w:rsidRPr="00B422E3" w14:paraId="228AFAD0" w14:textId="77777777" w:rsidTr="00B422E3">
        <w:trPr>
          <w:trHeight w:val="360"/>
        </w:trPr>
        <w:tc>
          <w:tcPr>
            <w:tcW w:w="0" w:type="auto"/>
            <w:shd w:val="clear" w:color="auto" w:fill="auto"/>
            <w:hideMark/>
          </w:tcPr>
          <w:p w14:paraId="0448F4B4" w14:textId="77777777" w:rsidR="00B422E3" w:rsidRPr="00B422E3" w:rsidRDefault="00B422E3" w:rsidP="00B422E3">
            <w:pPr>
              <w:rPr>
                <w:rFonts w:ascii="Segoe UI" w:eastAsia="Times New Roman" w:hAnsi="Segoe UI" w:cs="Segoe UI"/>
                <w:b/>
                <w:bCs/>
                <w:color w:val="665F61"/>
                <w:sz w:val="22"/>
                <w:szCs w:val="22"/>
              </w:rPr>
            </w:pPr>
            <w:r>
              <w:rPr>
                <w:rFonts w:ascii="Segoe UI" w:eastAsia="Times New Roman" w:hAnsi="Segoe UI" w:cs="Segoe UI"/>
                <w:b/>
                <w:bCs/>
                <w:color w:val="665F61"/>
                <w:sz w:val="22"/>
                <w:szCs w:val="22"/>
                <w:lang w:val="pt-BR"/>
              </w:rPr>
              <w:t>Número da peça</w:t>
            </w:r>
          </w:p>
        </w:tc>
        <w:tc>
          <w:tcPr>
            <w:tcW w:w="0" w:type="auto"/>
            <w:shd w:val="clear" w:color="auto" w:fill="auto"/>
            <w:hideMark/>
          </w:tcPr>
          <w:p w14:paraId="7DE05788" w14:textId="6D57BE9C" w:rsidR="00B422E3" w:rsidRPr="00B422E3" w:rsidRDefault="00B422E3" w:rsidP="00B422E3">
            <w:pPr>
              <w:jc w:val="center"/>
              <w:rPr>
                <w:rFonts w:ascii="Segoe UI" w:eastAsia="Times New Roman" w:hAnsi="Segoe UI" w:cs="Segoe UI"/>
                <w:color w:val="665F61"/>
                <w:sz w:val="22"/>
                <w:szCs w:val="22"/>
              </w:rPr>
            </w:pPr>
            <w:r>
              <w:rPr>
                <w:rFonts w:ascii="Segoe UI" w:eastAsia="Times New Roman" w:hAnsi="Segoe UI" w:cs="Segoe UI"/>
                <w:color w:val="665F61"/>
                <w:sz w:val="22"/>
                <w:szCs w:val="22"/>
                <w:lang w:val="pt-BR"/>
              </w:rPr>
              <w:t>ADP-BT-AU-2X1</w:t>
            </w:r>
          </w:p>
        </w:tc>
      </w:tr>
    </w:tbl>
    <w:p w14:paraId="79A98879" w14:textId="0FDA6D52" w:rsidR="00E44795" w:rsidRDefault="00E44795"/>
    <w:p w14:paraId="30CB5F36" w14:textId="77777777" w:rsidR="004F5DEB" w:rsidRDefault="004F5DEB" w:rsidP="004F5DEB">
      <w:pPr>
        <w:rPr>
          <w:b/>
          <w:bCs/>
        </w:rPr>
      </w:pPr>
      <w:r>
        <w:rPr>
          <w:b/>
          <w:bCs/>
          <w:lang w:val="pt-BR"/>
        </w:rPr>
        <w:t xml:space="preserve">ESCRITÓRIOS INTERNACIONAIS </w:t>
      </w:r>
    </w:p>
    <w:p w14:paraId="05107549" w14:textId="77777777" w:rsidR="004F5DEB" w:rsidRPr="00E57010" w:rsidRDefault="004F5DEB" w:rsidP="004F5DEB"/>
    <w:p w14:paraId="63701CC0" w14:textId="77777777" w:rsidR="004F5DEB" w:rsidRPr="00E57010" w:rsidRDefault="004F5DEB" w:rsidP="004F5DEB">
      <w:r>
        <w:rPr>
          <w:b/>
          <w:bCs/>
          <w:lang w:val="pt-BR"/>
        </w:rPr>
        <w:t xml:space="preserve">Audinate Pty Ltd </w:t>
      </w:r>
    </w:p>
    <w:p w14:paraId="5F0BEA88" w14:textId="77777777" w:rsidR="004F5DEB" w:rsidRPr="00E57010" w:rsidRDefault="004F5DEB" w:rsidP="004F5DEB">
      <w:r>
        <w:rPr>
          <w:lang w:val="pt-BR"/>
        </w:rPr>
        <w:t>Level 7, 64 Kippax Street Surry Hills NSW 2010 Austrália</w:t>
      </w:r>
      <w:r>
        <w:rPr>
          <w:lang w:val="pt-BR"/>
        </w:rPr>
        <w:br/>
        <w:t xml:space="preserve">Tel: +61 2 8090 1000 </w:t>
      </w:r>
    </w:p>
    <w:p w14:paraId="67315C1D" w14:textId="77777777" w:rsidR="004F5DEB" w:rsidRDefault="004F5DEB" w:rsidP="004F5DEB">
      <w:pPr>
        <w:rPr>
          <w:b/>
          <w:bCs/>
        </w:rPr>
      </w:pPr>
    </w:p>
    <w:p w14:paraId="6BA7B646" w14:textId="77777777" w:rsidR="004F5DEB" w:rsidRPr="00E57010" w:rsidRDefault="004F5DEB" w:rsidP="004F5DEB">
      <w:r>
        <w:rPr>
          <w:b/>
          <w:bCs/>
          <w:lang w:val="pt-BR"/>
        </w:rPr>
        <w:t xml:space="preserve">Audinate Ltd </w:t>
      </w:r>
    </w:p>
    <w:p w14:paraId="1C08914B" w14:textId="77777777" w:rsidR="004F5DEB" w:rsidRPr="00E57010" w:rsidRDefault="004F5DEB" w:rsidP="004F5DEB">
      <w:r>
        <w:rPr>
          <w:lang w:val="pt-BR"/>
        </w:rPr>
        <w:t>Suite 104</w:t>
      </w:r>
      <w:r>
        <w:rPr>
          <w:lang w:val="pt-BR"/>
        </w:rPr>
        <w:br/>
        <w:t>Werks Central</w:t>
      </w:r>
      <w:r>
        <w:rPr>
          <w:lang w:val="pt-BR"/>
        </w:rPr>
        <w:br/>
        <w:t>15-17 Middle St Brighton, BN1 1AL Reino Unido</w:t>
      </w:r>
      <w:r>
        <w:rPr>
          <w:lang w:val="pt-BR"/>
        </w:rPr>
        <w:br/>
        <w:t xml:space="preserve">Tel. +44 (0) 1273 921695 </w:t>
      </w:r>
    </w:p>
    <w:p w14:paraId="0FBAB973" w14:textId="77777777" w:rsidR="004F5DEB" w:rsidRDefault="004F5DEB" w:rsidP="004F5DEB">
      <w:pPr>
        <w:rPr>
          <w:b/>
          <w:bCs/>
        </w:rPr>
      </w:pPr>
    </w:p>
    <w:p w14:paraId="09692408" w14:textId="77777777" w:rsidR="004F5DEB" w:rsidRPr="00E57010" w:rsidRDefault="004F5DEB" w:rsidP="004F5DEB">
      <w:r>
        <w:rPr>
          <w:b/>
          <w:bCs/>
          <w:lang w:val="pt-BR"/>
        </w:rPr>
        <w:t xml:space="preserve">Audinate, Inc </w:t>
      </w:r>
    </w:p>
    <w:p w14:paraId="219803AD" w14:textId="77777777" w:rsidR="004F5DEB" w:rsidRPr="00E57010" w:rsidRDefault="004F5DEB" w:rsidP="004F5DEB">
      <w:r>
        <w:rPr>
          <w:lang w:val="pt-BR"/>
        </w:rPr>
        <w:t>1200 NW Naito Parkway Suite 630</w:t>
      </w:r>
      <w:r>
        <w:rPr>
          <w:lang w:val="pt-BR"/>
        </w:rPr>
        <w:br/>
        <w:t xml:space="preserve">Portland, OR 97209 EUA </w:t>
      </w:r>
    </w:p>
    <w:p w14:paraId="5FD1C33C" w14:textId="77777777" w:rsidR="004F5DEB" w:rsidRPr="00E57010" w:rsidRDefault="004F5DEB" w:rsidP="004F5DEB">
      <w:r>
        <w:rPr>
          <w:lang w:val="pt-BR"/>
        </w:rPr>
        <w:t xml:space="preserve">Tel. +1.503.224.2998 </w:t>
      </w:r>
    </w:p>
    <w:p w14:paraId="0D3BC844" w14:textId="77777777" w:rsidR="004F5DEB" w:rsidRDefault="004F5DEB" w:rsidP="004F5DEB">
      <w:pPr>
        <w:rPr>
          <w:b/>
          <w:bCs/>
        </w:rPr>
      </w:pPr>
    </w:p>
    <w:p w14:paraId="497E88A8" w14:textId="77777777" w:rsidR="004F5DEB" w:rsidRPr="00E57010" w:rsidRDefault="004F5DEB" w:rsidP="004F5DEB">
      <w:r>
        <w:rPr>
          <w:b/>
          <w:bCs/>
          <w:lang w:val="pt-BR"/>
        </w:rPr>
        <w:t xml:space="preserve">Audinate Limited </w:t>
      </w:r>
    </w:p>
    <w:p w14:paraId="164D7877" w14:textId="77777777" w:rsidR="004F5DEB" w:rsidRPr="00E57010" w:rsidRDefault="004F5DEB" w:rsidP="004F5DEB">
      <w:r>
        <w:rPr>
          <w:rFonts w:eastAsia="MS Gothic"/>
          <w:lang w:val="pt-BR"/>
        </w:rPr>
        <w:t>Suite 1106-08, 11/</w:t>
      </w:r>
      <w:r>
        <w:rPr>
          <w:rFonts w:eastAsia="MS Gothic"/>
          <w:lang w:val="pt-BR"/>
        </w:rPr>
        <w:br/>
        <w:t>F Tai Yau Building</w:t>
      </w:r>
      <w:r>
        <w:rPr>
          <w:rFonts w:eastAsia="MS Gothic"/>
          <w:lang w:val="pt-BR"/>
        </w:rPr>
        <w:br/>
        <w:t xml:space="preserve">No 181 Johnston Road Wanchai, Hong Kong </w:t>
      </w:r>
      <w:r>
        <w:rPr>
          <w:rFonts w:eastAsia="MS Gothic"/>
          <w:lang w:val="pt-BR"/>
        </w:rPr>
        <w:t>任意</w:t>
      </w:r>
      <w:r>
        <w:rPr>
          <w:rFonts w:eastAsia="MS Gothic"/>
          <w:lang w:val="pt-BR"/>
        </w:rPr>
        <w:t xml:space="preserve"> </w:t>
      </w:r>
      <w:r>
        <w:rPr>
          <w:rFonts w:eastAsia="MS Gothic"/>
          <w:lang w:val="pt-BR"/>
        </w:rPr>
        <w:t>香港灣仔莊士敦道</w:t>
      </w:r>
      <w:r>
        <w:rPr>
          <w:rFonts w:eastAsia="MS Gothic"/>
          <w:lang w:val="pt-BR"/>
        </w:rPr>
        <w:t>181</w:t>
      </w:r>
      <w:r>
        <w:rPr>
          <w:rFonts w:eastAsia="MS Gothic"/>
          <w:lang w:val="pt-BR"/>
        </w:rPr>
        <w:t>號</w:t>
      </w:r>
      <w:r>
        <w:rPr>
          <w:rFonts w:eastAsia="MS Gothic"/>
          <w:lang w:val="pt-BR"/>
        </w:rPr>
        <w:t xml:space="preserve"> </w:t>
      </w:r>
      <w:r>
        <w:rPr>
          <w:rFonts w:eastAsia="MS Gothic"/>
          <w:lang w:val="pt-BR"/>
        </w:rPr>
        <w:t>大有大廈</w:t>
      </w:r>
      <w:r>
        <w:rPr>
          <w:rFonts w:eastAsia="MS Gothic"/>
          <w:lang w:val="pt-BR"/>
        </w:rPr>
        <w:t>11</w:t>
      </w:r>
      <w:r>
        <w:rPr>
          <w:rFonts w:eastAsia="MS Gothic"/>
          <w:lang w:val="pt-BR"/>
        </w:rPr>
        <w:t>樓</w:t>
      </w:r>
      <w:r>
        <w:rPr>
          <w:rFonts w:eastAsia="MS Gothic"/>
          <w:lang w:val="pt-BR"/>
        </w:rPr>
        <w:t>1106-8</w:t>
      </w:r>
      <w:r>
        <w:rPr>
          <w:rFonts w:eastAsia="MS Gothic"/>
          <w:lang w:val="pt-BR"/>
        </w:rPr>
        <w:t>室</w:t>
      </w:r>
      <w:r>
        <w:rPr>
          <w:rFonts w:eastAsia="MS Gothic"/>
          <w:lang w:val="pt-BR"/>
        </w:rPr>
        <w:t xml:space="preserve"> Tel. +(852)-3588 0030 </w:t>
      </w:r>
    </w:p>
    <w:p w14:paraId="35132221" w14:textId="77777777" w:rsidR="004F5DEB" w:rsidRPr="00E57010" w:rsidRDefault="004F5DEB" w:rsidP="004F5DEB">
      <w:r>
        <w:rPr>
          <w:lang w:val="pt-BR"/>
        </w:rPr>
        <w:t xml:space="preserve">+(852)-3588 0031 </w:t>
      </w:r>
    </w:p>
    <w:p w14:paraId="3A112EF8" w14:textId="77777777" w:rsidR="004F5DEB" w:rsidRDefault="004F5DEB" w:rsidP="004F5DEB"/>
    <w:p w14:paraId="4043B7E9" w14:textId="77777777" w:rsidR="004F5DEB" w:rsidRPr="006B3F79" w:rsidRDefault="004F5DEB" w:rsidP="004F5DEB">
      <w:r>
        <w:rPr>
          <w:lang w:val="pt-BR"/>
        </w:rPr>
        <w:t xml:space="preserve">info@audinate.com </w:t>
      </w:r>
    </w:p>
    <w:p w14:paraId="00F33AFE" w14:textId="77777777" w:rsidR="004F5DEB" w:rsidRDefault="00F511FA" w:rsidP="004F5DEB">
      <w:pPr>
        <w:rPr>
          <w:b/>
          <w:bCs/>
        </w:rPr>
      </w:pPr>
      <w:hyperlink r:id="rId5" w:history="1">
        <w:r w:rsidR="004F5DEB">
          <w:rPr>
            <w:rStyle w:val="Hipercze"/>
            <w:b/>
            <w:bCs/>
            <w:lang w:val="pt-BR"/>
          </w:rPr>
          <w:t>www.audinate.com</w:t>
        </w:r>
      </w:hyperlink>
      <w:r w:rsidR="004F5DEB">
        <w:rPr>
          <w:b/>
          <w:bCs/>
          <w:lang w:val="pt-BR"/>
        </w:rPr>
        <w:t xml:space="preserve"> </w:t>
      </w:r>
    </w:p>
    <w:p w14:paraId="0E2AD17B" w14:textId="77777777" w:rsidR="004F5DEB" w:rsidRPr="006B3F79" w:rsidRDefault="004F5DEB" w:rsidP="004F5DEB"/>
    <w:p w14:paraId="1BB31FCC" w14:textId="77777777" w:rsidR="004F5DEB" w:rsidRPr="006B3F79" w:rsidRDefault="004F5DEB" w:rsidP="004F5DEB">
      <w:r>
        <w:rPr>
          <w:lang w:val="pt-BR"/>
        </w:rPr>
        <w:t xml:space="preserve">Audinate, Dante, Dante AVIO e seus logotipos são marcas comerciais da Audinate Pty Ltd. </w:t>
      </w:r>
    </w:p>
    <w:p w14:paraId="41D7985C" w14:textId="77777777" w:rsidR="004F5DEB" w:rsidRPr="006B3F79" w:rsidRDefault="004F5DEB" w:rsidP="004F5DEB">
      <w:r>
        <w:rPr>
          <w:lang w:val="pt-BR"/>
        </w:rPr>
        <w:t xml:space="preserve">Todas as outras marcas comerciais permanecem sendo propriedade de seus respectivos titulares. </w:t>
      </w:r>
    </w:p>
    <w:p w14:paraId="06FCC8F2" w14:textId="77777777" w:rsidR="004F5DEB" w:rsidRDefault="004F5DEB" w:rsidP="004F5DEB">
      <w:r>
        <w:rPr>
          <w:lang w:val="pt-BR"/>
        </w:rPr>
        <w:t xml:space="preserve">Os produtos Audinate estão cobertos por várias patentes. Veja https://www.audinate.com/patents para mais detalhes. </w:t>
      </w:r>
    </w:p>
    <w:p w14:paraId="2AB59AAC" w14:textId="77777777" w:rsidR="004F5DEB" w:rsidRPr="006B3F79" w:rsidRDefault="004F5DEB" w:rsidP="004F5DEB"/>
    <w:p w14:paraId="49A096F0" w14:textId="4DC577C3" w:rsidR="004F5DEB" w:rsidRDefault="004F5DEB" w:rsidP="00F511FA">
      <w:r>
        <w:rPr>
          <w:lang w:val="pt-BR"/>
        </w:rPr>
        <w:t>© 2021 Audinate Pty Ltd. Todos os direitos reservados.</w:t>
      </w:r>
    </w:p>
    <w:sectPr w:rsidR="004F5DEB" w:rsidSect="00C76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2D0"/>
    <w:multiLevelType w:val="hybridMultilevel"/>
    <w:tmpl w:val="416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96095"/>
    <w:multiLevelType w:val="hybridMultilevel"/>
    <w:tmpl w:val="229A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F3258"/>
    <w:multiLevelType w:val="hybridMultilevel"/>
    <w:tmpl w:val="4436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9153E"/>
    <w:multiLevelType w:val="multilevel"/>
    <w:tmpl w:val="256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406FE"/>
    <w:multiLevelType w:val="hybridMultilevel"/>
    <w:tmpl w:val="BE32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30A1B"/>
    <w:multiLevelType w:val="hybridMultilevel"/>
    <w:tmpl w:val="A012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95"/>
    <w:rsid w:val="00004A71"/>
    <w:rsid w:val="0000731A"/>
    <w:rsid w:val="00031BD6"/>
    <w:rsid w:val="0007127C"/>
    <w:rsid w:val="00080522"/>
    <w:rsid w:val="00084626"/>
    <w:rsid w:val="000E3A56"/>
    <w:rsid w:val="000F1946"/>
    <w:rsid w:val="001A3D7C"/>
    <w:rsid w:val="001F57AE"/>
    <w:rsid w:val="002750FF"/>
    <w:rsid w:val="00281FCA"/>
    <w:rsid w:val="002B4690"/>
    <w:rsid w:val="002D0191"/>
    <w:rsid w:val="00300035"/>
    <w:rsid w:val="00306DA2"/>
    <w:rsid w:val="00312A0D"/>
    <w:rsid w:val="0032442E"/>
    <w:rsid w:val="00381717"/>
    <w:rsid w:val="00393FBE"/>
    <w:rsid w:val="003A1CB6"/>
    <w:rsid w:val="003B454B"/>
    <w:rsid w:val="003E55C9"/>
    <w:rsid w:val="004013D6"/>
    <w:rsid w:val="00413158"/>
    <w:rsid w:val="00431A84"/>
    <w:rsid w:val="00443275"/>
    <w:rsid w:val="00467831"/>
    <w:rsid w:val="00484DE3"/>
    <w:rsid w:val="004C40DD"/>
    <w:rsid w:val="004F5DEB"/>
    <w:rsid w:val="00501714"/>
    <w:rsid w:val="00594408"/>
    <w:rsid w:val="005B6DE8"/>
    <w:rsid w:val="005C292F"/>
    <w:rsid w:val="006123FF"/>
    <w:rsid w:val="00664CD0"/>
    <w:rsid w:val="006821EA"/>
    <w:rsid w:val="0068385D"/>
    <w:rsid w:val="006A22E9"/>
    <w:rsid w:val="006C6152"/>
    <w:rsid w:val="006D7D4F"/>
    <w:rsid w:val="00712E51"/>
    <w:rsid w:val="00722914"/>
    <w:rsid w:val="00742A89"/>
    <w:rsid w:val="007D46CE"/>
    <w:rsid w:val="007D4C47"/>
    <w:rsid w:val="007F7429"/>
    <w:rsid w:val="00806403"/>
    <w:rsid w:val="008471E2"/>
    <w:rsid w:val="00870276"/>
    <w:rsid w:val="008B1538"/>
    <w:rsid w:val="008B373B"/>
    <w:rsid w:val="008B45C2"/>
    <w:rsid w:val="008B6AD5"/>
    <w:rsid w:val="008D59DA"/>
    <w:rsid w:val="008D68C8"/>
    <w:rsid w:val="009A5C89"/>
    <w:rsid w:val="009D16DE"/>
    <w:rsid w:val="00A028BF"/>
    <w:rsid w:val="00AC13A1"/>
    <w:rsid w:val="00AD56CF"/>
    <w:rsid w:val="00AE2EB7"/>
    <w:rsid w:val="00B17018"/>
    <w:rsid w:val="00B422E3"/>
    <w:rsid w:val="00B47477"/>
    <w:rsid w:val="00B61B2F"/>
    <w:rsid w:val="00B75832"/>
    <w:rsid w:val="00B91BAA"/>
    <w:rsid w:val="00B95550"/>
    <w:rsid w:val="00BC4B68"/>
    <w:rsid w:val="00BD612F"/>
    <w:rsid w:val="00BE1670"/>
    <w:rsid w:val="00BE3CB0"/>
    <w:rsid w:val="00C0524B"/>
    <w:rsid w:val="00C060FC"/>
    <w:rsid w:val="00C100A7"/>
    <w:rsid w:val="00C15DCF"/>
    <w:rsid w:val="00C16E76"/>
    <w:rsid w:val="00C769EB"/>
    <w:rsid w:val="00C832C6"/>
    <w:rsid w:val="00CA6A76"/>
    <w:rsid w:val="00CC0108"/>
    <w:rsid w:val="00CC1DB6"/>
    <w:rsid w:val="00CC4189"/>
    <w:rsid w:val="00CF7214"/>
    <w:rsid w:val="00D00A87"/>
    <w:rsid w:val="00D27678"/>
    <w:rsid w:val="00D33BE7"/>
    <w:rsid w:val="00D52071"/>
    <w:rsid w:val="00D75C95"/>
    <w:rsid w:val="00D820BB"/>
    <w:rsid w:val="00D94E3C"/>
    <w:rsid w:val="00DC2D04"/>
    <w:rsid w:val="00E3234D"/>
    <w:rsid w:val="00E44795"/>
    <w:rsid w:val="00E55D63"/>
    <w:rsid w:val="00E92E71"/>
    <w:rsid w:val="00EA174A"/>
    <w:rsid w:val="00EB7E44"/>
    <w:rsid w:val="00EF1343"/>
    <w:rsid w:val="00EF7EAC"/>
    <w:rsid w:val="00F0635B"/>
    <w:rsid w:val="00F13E5E"/>
    <w:rsid w:val="00F23A9D"/>
    <w:rsid w:val="00F511FA"/>
    <w:rsid w:val="00F55CE6"/>
    <w:rsid w:val="00F74EB9"/>
    <w:rsid w:val="00F90443"/>
    <w:rsid w:val="00FE2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5569"/>
  <w15:chartTrackingRefBased/>
  <w15:docId w15:val="{116FE384-2E91-E74D-8F55-C81CC934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2E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E2E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2E4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E2E4A"/>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FE2E4A"/>
    <w:pPr>
      <w:spacing w:after="160" w:line="259" w:lineRule="auto"/>
      <w:ind w:left="720"/>
      <w:contextualSpacing/>
    </w:pPr>
    <w:rPr>
      <w:sz w:val="22"/>
      <w:szCs w:val="22"/>
      <w:lang w:val="en-AU"/>
    </w:rPr>
  </w:style>
  <w:style w:type="character" w:styleId="Odwoaniedokomentarza">
    <w:name w:val="annotation reference"/>
    <w:basedOn w:val="Domylnaczcionkaakapitu"/>
    <w:uiPriority w:val="99"/>
    <w:semiHidden/>
    <w:unhideWhenUsed/>
    <w:rsid w:val="00300035"/>
    <w:rPr>
      <w:sz w:val="16"/>
      <w:szCs w:val="16"/>
    </w:rPr>
  </w:style>
  <w:style w:type="paragraph" w:styleId="Tekstkomentarza">
    <w:name w:val="annotation text"/>
    <w:basedOn w:val="Normalny"/>
    <w:link w:val="TekstkomentarzaZnak"/>
    <w:uiPriority w:val="99"/>
    <w:semiHidden/>
    <w:unhideWhenUsed/>
    <w:rsid w:val="00300035"/>
    <w:rPr>
      <w:sz w:val="20"/>
      <w:szCs w:val="20"/>
    </w:rPr>
  </w:style>
  <w:style w:type="character" w:customStyle="1" w:styleId="TekstkomentarzaZnak">
    <w:name w:val="Tekst komentarza Znak"/>
    <w:basedOn w:val="Domylnaczcionkaakapitu"/>
    <w:link w:val="Tekstkomentarza"/>
    <w:uiPriority w:val="99"/>
    <w:semiHidden/>
    <w:rsid w:val="00300035"/>
    <w:rPr>
      <w:sz w:val="20"/>
      <w:szCs w:val="20"/>
    </w:rPr>
  </w:style>
  <w:style w:type="paragraph" w:styleId="Tematkomentarza">
    <w:name w:val="annotation subject"/>
    <w:basedOn w:val="Tekstkomentarza"/>
    <w:next w:val="Tekstkomentarza"/>
    <w:link w:val="TematkomentarzaZnak"/>
    <w:uiPriority w:val="99"/>
    <w:semiHidden/>
    <w:unhideWhenUsed/>
    <w:rsid w:val="00300035"/>
    <w:rPr>
      <w:b/>
      <w:bCs/>
    </w:rPr>
  </w:style>
  <w:style w:type="character" w:customStyle="1" w:styleId="TematkomentarzaZnak">
    <w:name w:val="Temat komentarza Znak"/>
    <w:basedOn w:val="TekstkomentarzaZnak"/>
    <w:link w:val="Tematkomentarza"/>
    <w:uiPriority w:val="99"/>
    <w:semiHidden/>
    <w:rsid w:val="00300035"/>
    <w:rPr>
      <w:b/>
      <w:bCs/>
      <w:sz w:val="20"/>
      <w:szCs w:val="20"/>
    </w:rPr>
  </w:style>
  <w:style w:type="paragraph" w:styleId="Tekstdymka">
    <w:name w:val="Balloon Text"/>
    <w:basedOn w:val="Normalny"/>
    <w:link w:val="TekstdymkaZnak"/>
    <w:uiPriority w:val="99"/>
    <w:semiHidden/>
    <w:unhideWhenUsed/>
    <w:rsid w:val="003000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035"/>
    <w:rPr>
      <w:rFonts w:ascii="Segoe UI" w:hAnsi="Segoe UI" w:cs="Segoe UI"/>
      <w:sz w:val="18"/>
      <w:szCs w:val="18"/>
    </w:rPr>
  </w:style>
  <w:style w:type="character" w:styleId="Hipercze">
    <w:name w:val="Hyperlink"/>
    <w:basedOn w:val="Domylnaczcionkaakapitu"/>
    <w:uiPriority w:val="99"/>
    <w:unhideWhenUsed/>
    <w:rsid w:val="004F5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128602">
      <w:bodyDiv w:val="1"/>
      <w:marLeft w:val="0"/>
      <w:marRight w:val="0"/>
      <w:marTop w:val="0"/>
      <w:marBottom w:val="0"/>
      <w:divBdr>
        <w:top w:val="none" w:sz="0" w:space="0" w:color="auto"/>
        <w:left w:val="none" w:sz="0" w:space="0" w:color="auto"/>
        <w:bottom w:val="none" w:sz="0" w:space="0" w:color="auto"/>
        <w:right w:val="none" w:sz="0" w:space="0" w:color="auto"/>
      </w:divBdr>
      <w:divsChild>
        <w:div w:id="647590070">
          <w:marLeft w:val="0"/>
          <w:marRight w:val="0"/>
          <w:marTop w:val="0"/>
          <w:marBottom w:val="0"/>
          <w:divBdr>
            <w:top w:val="none" w:sz="0" w:space="0" w:color="auto"/>
            <w:left w:val="none" w:sz="0" w:space="0" w:color="auto"/>
            <w:bottom w:val="none" w:sz="0" w:space="0" w:color="auto"/>
            <w:right w:val="none" w:sz="0" w:space="0" w:color="auto"/>
          </w:divBdr>
          <w:divsChild>
            <w:div w:id="107749436">
              <w:marLeft w:val="0"/>
              <w:marRight w:val="0"/>
              <w:marTop w:val="0"/>
              <w:marBottom w:val="0"/>
              <w:divBdr>
                <w:top w:val="none" w:sz="0" w:space="0" w:color="auto"/>
                <w:left w:val="none" w:sz="0" w:space="0" w:color="auto"/>
                <w:bottom w:val="none" w:sz="0" w:space="0" w:color="auto"/>
                <w:right w:val="none" w:sz="0" w:space="0" w:color="auto"/>
              </w:divBdr>
              <w:divsChild>
                <w:div w:id="150408647">
                  <w:marLeft w:val="0"/>
                  <w:marRight w:val="0"/>
                  <w:marTop w:val="0"/>
                  <w:marBottom w:val="0"/>
                  <w:divBdr>
                    <w:top w:val="none" w:sz="0" w:space="0" w:color="auto"/>
                    <w:left w:val="none" w:sz="0" w:space="0" w:color="auto"/>
                    <w:bottom w:val="none" w:sz="0" w:space="0" w:color="auto"/>
                    <w:right w:val="none" w:sz="0" w:space="0" w:color="auto"/>
                  </w:divBdr>
                  <w:divsChild>
                    <w:div w:id="13211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77864">
      <w:bodyDiv w:val="1"/>
      <w:marLeft w:val="0"/>
      <w:marRight w:val="0"/>
      <w:marTop w:val="0"/>
      <w:marBottom w:val="0"/>
      <w:divBdr>
        <w:top w:val="none" w:sz="0" w:space="0" w:color="auto"/>
        <w:left w:val="none" w:sz="0" w:space="0" w:color="auto"/>
        <w:bottom w:val="none" w:sz="0" w:space="0" w:color="auto"/>
        <w:right w:val="none" w:sz="0" w:space="0" w:color="auto"/>
      </w:divBdr>
      <w:divsChild>
        <w:div w:id="515921512">
          <w:marLeft w:val="0"/>
          <w:marRight w:val="0"/>
          <w:marTop w:val="0"/>
          <w:marBottom w:val="0"/>
          <w:divBdr>
            <w:top w:val="none" w:sz="0" w:space="0" w:color="auto"/>
            <w:left w:val="none" w:sz="0" w:space="0" w:color="auto"/>
            <w:bottom w:val="none" w:sz="0" w:space="0" w:color="auto"/>
            <w:right w:val="none" w:sz="0" w:space="0" w:color="auto"/>
          </w:divBdr>
          <w:divsChild>
            <w:div w:id="987318431">
              <w:marLeft w:val="0"/>
              <w:marRight w:val="0"/>
              <w:marTop w:val="0"/>
              <w:marBottom w:val="0"/>
              <w:divBdr>
                <w:top w:val="none" w:sz="0" w:space="0" w:color="auto"/>
                <w:left w:val="none" w:sz="0" w:space="0" w:color="auto"/>
                <w:bottom w:val="none" w:sz="0" w:space="0" w:color="auto"/>
                <w:right w:val="none" w:sz="0" w:space="0" w:color="auto"/>
              </w:divBdr>
              <w:divsChild>
                <w:div w:id="2044330326">
                  <w:marLeft w:val="0"/>
                  <w:marRight w:val="0"/>
                  <w:marTop w:val="0"/>
                  <w:marBottom w:val="0"/>
                  <w:divBdr>
                    <w:top w:val="none" w:sz="0" w:space="0" w:color="auto"/>
                    <w:left w:val="none" w:sz="0" w:space="0" w:color="auto"/>
                    <w:bottom w:val="none" w:sz="0" w:space="0" w:color="auto"/>
                    <w:right w:val="none" w:sz="0" w:space="0" w:color="auto"/>
                  </w:divBdr>
                  <w:divsChild>
                    <w:div w:id="13625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6647">
      <w:bodyDiv w:val="1"/>
      <w:marLeft w:val="0"/>
      <w:marRight w:val="0"/>
      <w:marTop w:val="0"/>
      <w:marBottom w:val="0"/>
      <w:divBdr>
        <w:top w:val="none" w:sz="0" w:space="0" w:color="auto"/>
        <w:left w:val="none" w:sz="0" w:space="0" w:color="auto"/>
        <w:bottom w:val="none" w:sz="0" w:space="0" w:color="auto"/>
        <w:right w:val="none" w:sz="0" w:space="0" w:color="auto"/>
      </w:divBdr>
      <w:divsChild>
        <w:div w:id="498354367">
          <w:marLeft w:val="0"/>
          <w:marRight w:val="0"/>
          <w:marTop w:val="0"/>
          <w:marBottom w:val="0"/>
          <w:divBdr>
            <w:top w:val="none" w:sz="0" w:space="0" w:color="auto"/>
            <w:left w:val="none" w:sz="0" w:space="0" w:color="auto"/>
            <w:bottom w:val="none" w:sz="0" w:space="0" w:color="auto"/>
            <w:right w:val="none" w:sz="0" w:space="0" w:color="auto"/>
          </w:divBdr>
          <w:divsChild>
            <w:div w:id="1472136887">
              <w:marLeft w:val="0"/>
              <w:marRight w:val="0"/>
              <w:marTop w:val="0"/>
              <w:marBottom w:val="0"/>
              <w:divBdr>
                <w:top w:val="none" w:sz="0" w:space="0" w:color="auto"/>
                <w:left w:val="none" w:sz="0" w:space="0" w:color="auto"/>
                <w:bottom w:val="none" w:sz="0" w:space="0" w:color="auto"/>
                <w:right w:val="none" w:sz="0" w:space="0" w:color="auto"/>
              </w:divBdr>
              <w:divsChild>
                <w:div w:id="1212309276">
                  <w:marLeft w:val="0"/>
                  <w:marRight w:val="0"/>
                  <w:marTop w:val="0"/>
                  <w:marBottom w:val="0"/>
                  <w:divBdr>
                    <w:top w:val="none" w:sz="0" w:space="0" w:color="auto"/>
                    <w:left w:val="none" w:sz="0" w:space="0" w:color="auto"/>
                    <w:bottom w:val="none" w:sz="0" w:space="0" w:color="auto"/>
                    <w:right w:val="none" w:sz="0" w:space="0" w:color="auto"/>
                  </w:divBdr>
                  <w:divsChild>
                    <w:div w:id="20390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dinate.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BF2F40EE6BE4AA8396D9B5EAFA097" ma:contentTypeVersion="11" ma:contentTypeDescription="Create a new document." ma:contentTypeScope="" ma:versionID="427e498afbc1a63187a392277f069813">
  <xsd:schema xmlns:xsd="http://www.w3.org/2001/XMLSchema" xmlns:xs="http://www.w3.org/2001/XMLSchema" xmlns:p="http://schemas.microsoft.com/office/2006/metadata/properties" xmlns:ns2="ff6501cb-4a53-4889-8d7a-478509f7c500" xmlns:ns3="38f70bd8-63c1-4511-a620-d3e07c9947ed" targetNamespace="http://schemas.microsoft.com/office/2006/metadata/properties" ma:root="true" ma:fieldsID="2c57b5eaac32828fcea2d104437a3ef1" ns2:_="" ns3:_="">
    <xsd:import namespace="ff6501cb-4a53-4889-8d7a-478509f7c500"/>
    <xsd:import namespace="38f70bd8-63c1-4511-a620-d3e07c9947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501cb-4a53-4889-8d7a-478509f7c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70bd8-63c1-4511-a620-d3e07c9947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F2C65-A683-4905-8276-9AC90E60C267}"/>
</file>

<file path=customXml/itemProps2.xml><?xml version="1.0" encoding="utf-8"?>
<ds:datastoreItem xmlns:ds="http://schemas.openxmlformats.org/officeDocument/2006/customXml" ds:itemID="{6CA4D7B7-4E39-4DA6-87D0-5006586BDD07}"/>
</file>

<file path=customXml/itemProps3.xml><?xml version="1.0" encoding="utf-8"?>
<ds:datastoreItem xmlns:ds="http://schemas.openxmlformats.org/officeDocument/2006/customXml" ds:itemID="{819ADBDB-347C-4EBE-B71A-126A5F6211B5}"/>
</file>

<file path=docProps/app.xml><?xml version="1.0" encoding="utf-8"?>
<Properties xmlns="http://schemas.openxmlformats.org/officeDocument/2006/extended-properties" xmlns:vt="http://schemas.openxmlformats.org/officeDocument/2006/docPropsVTypes">
  <Template>Normal</Template>
  <TotalTime>38</TotalTime>
  <Pages>3</Pages>
  <Words>752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Audinate</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Price</dc:creator>
  <cp:keywords/>
  <dc:description/>
  <cp:lastModifiedBy>ATL | Monika Bujanowicz</cp:lastModifiedBy>
  <cp:revision>47</cp:revision>
  <dcterms:created xsi:type="dcterms:W3CDTF">2020-04-08T20:58:00Z</dcterms:created>
  <dcterms:modified xsi:type="dcterms:W3CDTF">2021-02-26T15:23:00Z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0x010100BADBF2F40EE6BE4AA8396D9B5EAFA097</vt:lpwstr>
  </property>
</Properties>
</file>